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 w:lineRule="exact"/>
      </w:pPr>
    </w:p>
    <w:p>
      <w:pPr>
        <w:rPr>
          <w:sz w:val="32"/>
          <w:szCs w:val="40"/>
        </w:rPr>
      </w:pPr>
      <w:r>
        <w:rPr>
          <w:rFonts w:hint="eastAsia"/>
          <w:sz w:val="32"/>
          <w:szCs w:val="40"/>
        </w:rPr>
        <w:t>附件2</w:t>
      </w:r>
    </w:p>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 xml:space="preserve">  随机抽查事项清单</w:t>
      </w:r>
    </w:p>
    <w:p>
      <w:pPr>
        <w:spacing w:line="260" w:lineRule="exact"/>
      </w:pPr>
    </w:p>
    <w:p>
      <w:pPr>
        <w:spacing w:line="260" w:lineRule="exact"/>
      </w:pPr>
    </w:p>
    <w:p>
      <w:pPr>
        <w:spacing w:line="260" w:lineRule="exact"/>
      </w:pPr>
      <w:r>
        <w:rPr>
          <w:rFonts w:hint="eastAsia"/>
        </w:rPr>
        <w:t>填报部门：（盖章）双辽市公安局禁毒大队</w:t>
      </w:r>
    </w:p>
    <w:p>
      <w:pPr>
        <w:spacing w:line="260" w:lineRule="exact"/>
      </w:pPr>
    </w:p>
    <w:p>
      <w:pPr>
        <w:spacing w:line="260" w:lineRule="exact"/>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100"/>
        <w:gridCol w:w="1134"/>
        <w:gridCol w:w="1134"/>
        <w:gridCol w:w="1984"/>
        <w:gridCol w:w="2127"/>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pPr>
              <w:spacing w:line="260" w:lineRule="exact"/>
              <w:jc w:val="center"/>
              <w:rPr>
                <w:szCs w:val="20"/>
              </w:rPr>
            </w:pPr>
            <w:r>
              <w:rPr>
                <w:rFonts w:hint="eastAsia"/>
                <w:szCs w:val="20"/>
              </w:rPr>
              <w:t>序号</w:t>
            </w:r>
          </w:p>
        </w:tc>
        <w:tc>
          <w:tcPr>
            <w:tcW w:w="1100" w:type="dxa"/>
            <w:vAlign w:val="center"/>
          </w:tcPr>
          <w:p>
            <w:pPr>
              <w:spacing w:line="260" w:lineRule="exact"/>
              <w:jc w:val="center"/>
              <w:rPr>
                <w:szCs w:val="20"/>
              </w:rPr>
            </w:pPr>
            <w:r>
              <w:rPr>
                <w:rFonts w:hint="eastAsia"/>
                <w:szCs w:val="20"/>
              </w:rPr>
              <w:t>检查事项</w:t>
            </w:r>
          </w:p>
        </w:tc>
        <w:tc>
          <w:tcPr>
            <w:tcW w:w="1134" w:type="dxa"/>
            <w:vAlign w:val="center"/>
          </w:tcPr>
          <w:p>
            <w:pPr>
              <w:spacing w:line="260" w:lineRule="exact"/>
              <w:jc w:val="center"/>
              <w:rPr>
                <w:szCs w:val="20"/>
              </w:rPr>
            </w:pPr>
            <w:r>
              <w:rPr>
                <w:rFonts w:hint="eastAsia"/>
                <w:szCs w:val="20"/>
              </w:rPr>
              <w:t>检查主体</w:t>
            </w:r>
          </w:p>
        </w:tc>
        <w:tc>
          <w:tcPr>
            <w:tcW w:w="1134" w:type="dxa"/>
            <w:vAlign w:val="center"/>
          </w:tcPr>
          <w:p>
            <w:pPr>
              <w:spacing w:line="260" w:lineRule="exact"/>
              <w:jc w:val="center"/>
              <w:rPr>
                <w:szCs w:val="20"/>
              </w:rPr>
            </w:pPr>
            <w:r>
              <w:rPr>
                <w:rFonts w:hint="eastAsia"/>
                <w:szCs w:val="20"/>
              </w:rPr>
              <w:t>检查对象</w:t>
            </w:r>
          </w:p>
        </w:tc>
        <w:tc>
          <w:tcPr>
            <w:tcW w:w="1984" w:type="dxa"/>
            <w:vAlign w:val="center"/>
          </w:tcPr>
          <w:p>
            <w:pPr>
              <w:spacing w:line="260" w:lineRule="exact"/>
              <w:jc w:val="center"/>
              <w:rPr>
                <w:szCs w:val="20"/>
              </w:rPr>
            </w:pPr>
            <w:r>
              <w:rPr>
                <w:rFonts w:hint="eastAsia"/>
                <w:szCs w:val="20"/>
              </w:rPr>
              <w:t>检查内容</w:t>
            </w:r>
          </w:p>
        </w:tc>
        <w:tc>
          <w:tcPr>
            <w:tcW w:w="2127" w:type="dxa"/>
            <w:vAlign w:val="center"/>
          </w:tcPr>
          <w:p>
            <w:pPr>
              <w:spacing w:line="260" w:lineRule="exact"/>
              <w:jc w:val="center"/>
              <w:rPr>
                <w:szCs w:val="20"/>
              </w:rPr>
            </w:pPr>
            <w:r>
              <w:rPr>
                <w:rFonts w:hint="eastAsia"/>
                <w:szCs w:val="20"/>
              </w:rPr>
              <w:t>检查依据</w:t>
            </w:r>
          </w:p>
        </w:tc>
        <w:tc>
          <w:tcPr>
            <w:tcW w:w="617" w:type="dxa"/>
            <w:vAlign w:val="center"/>
          </w:tcPr>
          <w:p>
            <w:pPr>
              <w:spacing w:line="260" w:lineRule="exact"/>
              <w:jc w:val="center"/>
              <w:rPr>
                <w:szCs w:val="20"/>
              </w:rPr>
            </w:pPr>
            <w:r>
              <w:rPr>
                <w:rFonts w:hint="eastAsia"/>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26" w:type="dxa"/>
            <w:vAlign w:val="center"/>
          </w:tcPr>
          <w:p>
            <w:pPr>
              <w:spacing w:line="260" w:lineRule="exact"/>
              <w:jc w:val="center"/>
              <w:rPr>
                <w:szCs w:val="20"/>
              </w:rPr>
            </w:pPr>
            <w:r>
              <w:rPr>
                <w:rFonts w:hint="eastAsia"/>
                <w:szCs w:val="20"/>
              </w:rPr>
              <w:t>1</w:t>
            </w:r>
          </w:p>
        </w:tc>
        <w:tc>
          <w:tcPr>
            <w:tcW w:w="1100" w:type="dxa"/>
            <w:vAlign w:val="center"/>
          </w:tcPr>
          <w:p>
            <w:pPr>
              <w:spacing w:line="260" w:lineRule="exact"/>
              <w:jc w:val="center"/>
              <w:rPr>
                <w:szCs w:val="20"/>
              </w:rPr>
            </w:pPr>
            <w:r>
              <w:rPr>
                <w:rFonts w:hint="eastAsia"/>
                <w:szCs w:val="20"/>
              </w:rPr>
              <w:t>对第一类、第二类易制毒化学品运输许可的行政检查</w:t>
            </w:r>
          </w:p>
        </w:tc>
        <w:tc>
          <w:tcPr>
            <w:tcW w:w="1134" w:type="dxa"/>
            <w:vAlign w:val="center"/>
          </w:tcPr>
          <w:p>
            <w:pPr>
              <w:jc w:val="center"/>
              <w:rPr>
                <w:szCs w:val="20"/>
              </w:rPr>
            </w:pPr>
            <w:r>
              <w:rPr>
                <w:rFonts w:hint="eastAsia" w:ascii="Arial" w:hAnsi="Arial" w:cs="Arial"/>
                <w:sz w:val="22"/>
                <w:szCs w:val="22"/>
              </w:rPr>
              <w:t>双辽市公安局</w:t>
            </w:r>
          </w:p>
        </w:tc>
        <w:tc>
          <w:tcPr>
            <w:tcW w:w="1134" w:type="dxa"/>
            <w:vAlign w:val="center"/>
          </w:tcPr>
          <w:p>
            <w:pPr>
              <w:spacing w:line="260" w:lineRule="exact"/>
              <w:jc w:val="center"/>
              <w:rPr>
                <w:szCs w:val="20"/>
              </w:rPr>
            </w:pPr>
            <w:r>
              <w:rPr>
                <w:rFonts w:hint="eastAsia" w:ascii="Arial" w:hAnsi="Arial" w:cs="Arial"/>
                <w:sz w:val="22"/>
                <w:szCs w:val="22"/>
              </w:rPr>
              <w:t>易制毒化学品使用购买经销单位</w:t>
            </w:r>
          </w:p>
        </w:tc>
        <w:tc>
          <w:tcPr>
            <w:tcW w:w="1984" w:type="dxa"/>
            <w:vAlign w:val="center"/>
          </w:tcPr>
          <w:p>
            <w:pPr>
              <w:spacing w:line="260" w:lineRule="exact"/>
              <w:jc w:val="center"/>
              <w:rPr>
                <w:rFonts w:ascii="微软雅黑" w:hAnsi="微软雅黑" w:eastAsia="微软雅黑"/>
                <w:color w:val="393939"/>
                <w:szCs w:val="21"/>
              </w:rPr>
            </w:pPr>
            <w:r>
              <w:rPr>
                <w:rFonts w:hint="eastAsia" w:ascii="微软雅黑" w:hAnsi="微软雅黑" w:eastAsia="微软雅黑"/>
                <w:color w:val="393939"/>
                <w:szCs w:val="21"/>
              </w:rPr>
              <w:t>1.相关制度是否是否正常</w:t>
            </w:r>
          </w:p>
          <w:p>
            <w:pPr>
              <w:spacing w:line="260" w:lineRule="exact"/>
              <w:jc w:val="center"/>
              <w:rPr>
                <w:rFonts w:ascii="微软雅黑" w:hAnsi="微软雅黑" w:eastAsia="微软雅黑"/>
                <w:color w:val="393939"/>
                <w:szCs w:val="21"/>
              </w:rPr>
            </w:pPr>
            <w:r>
              <w:rPr>
                <w:rFonts w:hint="eastAsia" w:ascii="微软雅黑" w:hAnsi="微软雅黑" w:eastAsia="微软雅黑"/>
                <w:color w:val="393939"/>
                <w:szCs w:val="21"/>
              </w:rPr>
              <w:t>2. 出入库台账是否正常</w:t>
            </w:r>
          </w:p>
          <w:p>
            <w:pPr>
              <w:spacing w:line="260" w:lineRule="exact"/>
              <w:jc w:val="center"/>
              <w:rPr>
                <w:rFonts w:ascii="微软雅黑" w:hAnsi="微软雅黑" w:eastAsia="微软雅黑"/>
                <w:color w:val="393939"/>
                <w:szCs w:val="21"/>
              </w:rPr>
            </w:pPr>
            <w:r>
              <w:rPr>
                <w:rFonts w:hint="eastAsia" w:ascii="微软雅黑" w:hAnsi="微软雅黑" w:eastAsia="微软雅黑"/>
                <w:color w:val="393939"/>
                <w:szCs w:val="21"/>
              </w:rPr>
              <w:t>3. 使用购买经销台账是否正常</w:t>
            </w:r>
          </w:p>
          <w:p>
            <w:pPr>
              <w:spacing w:line="260" w:lineRule="exact"/>
              <w:rPr>
                <w:szCs w:val="20"/>
              </w:rPr>
            </w:pPr>
            <w:r>
              <w:rPr>
                <w:rFonts w:hint="eastAsia" w:ascii="微软雅黑" w:hAnsi="微软雅黑" w:eastAsia="微软雅黑"/>
                <w:color w:val="393939"/>
                <w:szCs w:val="21"/>
              </w:rPr>
              <w:t>4. 库房是否正常</w:t>
            </w:r>
          </w:p>
        </w:tc>
        <w:tc>
          <w:tcPr>
            <w:tcW w:w="2127" w:type="dxa"/>
            <w:vAlign w:val="center"/>
          </w:tcPr>
          <w:p>
            <w:pPr>
              <w:spacing w:line="260" w:lineRule="exact"/>
              <w:jc w:val="center"/>
              <w:rPr>
                <w:szCs w:val="20"/>
              </w:rPr>
            </w:pPr>
            <w:r>
              <w:rPr>
                <w:rFonts w:hint="eastAsia"/>
                <w:szCs w:val="20"/>
              </w:rPr>
              <w:t>《易制毒化学品管理条例》第二十条第一款：跨设区的市级行政区域（直辖市为跨市界）或者在国务院公安部门确定的禁毒形势严峻的重点地区跨县级行政区域运输第一类易制毒化学品的，由运出地的设区的市级人民政府公安机关审批；运输第二类易制毒化学品的，由运出地的县级人民政府公安机关审批。经审批取得易制毒化学品运输许可证后，方可运输。</w:t>
            </w:r>
          </w:p>
        </w:tc>
        <w:tc>
          <w:tcPr>
            <w:tcW w:w="617" w:type="dxa"/>
            <w:vAlign w:val="center"/>
          </w:tcPr>
          <w:p>
            <w:pPr>
              <w:spacing w:line="260" w:lineRule="exact"/>
              <w:jc w:val="center"/>
              <w:rPr>
                <w:szCs w:val="20"/>
              </w:rPr>
            </w:pPr>
          </w:p>
        </w:tc>
      </w:tr>
    </w:tbl>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r>
        <w:rPr>
          <w:rFonts w:hint="eastAsia"/>
        </w:rPr>
        <w:t>填表人：谢昆鹏                                                 联系电话：18543418325</w:t>
      </w: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00" w:lineRule="exact"/>
        <w:rPr>
          <w:sz w:val="16"/>
          <w:szCs w:val="16"/>
        </w:rPr>
      </w:pPr>
      <w:bookmarkStart w:id="0" w:name="_GoBack"/>
      <w:bookmarkEnd w:id="0"/>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60" w:lineRule="exact"/>
      </w:pPr>
      <w:r>
        <w:rPr>
          <w:rFonts w:hint="eastAsia"/>
        </w:rPr>
        <w:t>附表4：</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检查人员名录库</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 xml:space="preserve">                                                                       2020 年 4  月 1   日</w:t>
      </w:r>
    </w:p>
    <w:tbl>
      <w:tblPr>
        <w:tblStyle w:val="3"/>
        <w:tblpPr w:leftFromText="180" w:rightFromText="180" w:vertAnchor="text" w:horzAnchor="page" w:tblpXSpec="center" w:tblpY="147"/>
        <w:tblOverlap w:val="never"/>
        <w:tblW w:w="10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633"/>
        <w:gridCol w:w="536"/>
        <w:gridCol w:w="2518"/>
        <w:gridCol w:w="857"/>
        <w:gridCol w:w="1061"/>
        <w:gridCol w:w="889"/>
        <w:gridCol w:w="1122"/>
        <w:gridCol w:w="699"/>
        <w:gridCol w:w="597"/>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63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姓名</w:t>
            </w:r>
          </w:p>
        </w:tc>
        <w:tc>
          <w:tcPr>
            <w:tcW w:w="53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性别</w:t>
            </w:r>
          </w:p>
        </w:tc>
        <w:tc>
          <w:tcPr>
            <w:tcW w:w="25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w:t>
            </w:r>
          </w:p>
        </w:tc>
        <w:tc>
          <w:tcPr>
            <w:tcW w:w="85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职务</w:t>
            </w:r>
          </w:p>
        </w:tc>
        <w:tc>
          <w:tcPr>
            <w:tcW w:w="106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证件编号</w:t>
            </w:r>
          </w:p>
        </w:tc>
        <w:tc>
          <w:tcPr>
            <w:tcW w:w="889"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发证机关</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执法类型</w:t>
            </w:r>
          </w:p>
        </w:tc>
        <w:tc>
          <w:tcPr>
            <w:tcW w:w="699"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 xml:space="preserve"> 区域</w:t>
            </w:r>
          </w:p>
        </w:tc>
        <w:tc>
          <w:tcPr>
            <w:tcW w:w="59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是否组长</w:t>
            </w:r>
          </w:p>
        </w:tc>
        <w:tc>
          <w:tcPr>
            <w:tcW w:w="11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手机号码(必需填项，将依据该号码授予该用户登录系统权限)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63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无</w:t>
            </w:r>
          </w:p>
        </w:tc>
        <w:tc>
          <w:tcPr>
            <w:tcW w:w="536"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699" w:type="dxa"/>
            <w:vAlign w:val="center"/>
          </w:tcPr>
          <w:p>
            <w:pPr>
              <w:spacing w:line="200" w:lineRule="exact"/>
              <w:rPr>
                <w:rFonts w:ascii="方正黑体简体" w:hAnsi="方正黑体简体" w:eastAsia="方正黑体简体" w:cs="方正黑体简体"/>
                <w:sz w:val="16"/>
                <w:szCs w:val="16"/>
              </w:rPr>
            </w:pPr>
          </w:p>
        </w:tc>
        <w:tc>
          <w:tcPr>
            <w:tcW w:w="597" w:type="dxa"/>
            <w:vAlign w:val="center"/>
          </w:tcPr>
          <w:p>
            <w:pPr>
              <w:spacing w:line="200" w:lineRule="exact"/>
              <w:rPr>
                <w:rFonts w:ascii="方正黑体简体" w:hAnsi="方正黑体简体" w:eastAsia="方正黑体简体" w:cs="方正黑体简体"/>
                <w:sz w:val="16"/>
                <w:szCs w:val="16"/>
              </w:rPr>
            </w:pPr>
          </w:p>
        </w:tc>
        <w:tc>
          <w:tcPr>
            <w:tcW w:w="118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备注</w:t>
            </w:r>
          </w:p>
        </w:tc>
        <w:tc>
          <w:tcPr>
            <w:tcW w:w="10094" w:type="dxa"/>
            <w:gridSpan w:val="10"/>
            <w:vAlign w:val="center"/>
          </w:tcPr>
          <w:p>
            <w:pPr>
              <w:numPr>
                <w:ilvl w:val="0"/>
                <w:numId w:val="1"/>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此表由省直各执法部门指定专人统一编制；</w:t>
            </w:r>
          </w:p>
          <w:p>
            <w:pPr>
              <w:numPr>
                <w:ilvl w:val="0"/>
                <w:numId w:val="1"/>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执法部门全称一栏为执法人员所属具体组织实施行政执法的机关或事业单；</w:t>
            </w:r>
          </w:p>
          <w:p>
            <w:pPr>
              <w:numPr>
                <w:ilvl w:val="0"/>
                <w:numId w:val="1"/>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是不是组长一栏由执法部门根据随机抽查工作的实际确定；随机抽取时，系统按“是”和“否”选项分别抽取组长和组员，共同组成检查组。</w:t>
            </w:r>
          </w:p>
        </w:tc>
      </w:tr>
    </w:tbl>
    <w:p>
      <w:pPr>
        <w:spacing w:line="260" w:lineRule="exact"/>
      </w:pPr>
    </w:p>
    <w:p>
      <w:pPr>
        <w:spacing w:line="260" w:lineRule="exact"/>
      </w:pPr>
    </w:p>
    <w:p>
      <w:pPr>
        <w:spacing w:line="260" w:lineRule="exact"/>
      </w:pPr>
    </w:p>
    <w:p>
      <w:pPr>
        <w:spacing w:line="260" w:lineRule="exact"/>
      </w:pPr>
      <w:r>
        <w:rPr>
          <w:rFonts w:hint="eastAsia"/>
        </w:rPr>
        <w:t>填表人：  谢昆鹏                                              联系电话：18543418325</w:t>
      </w: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tbl>
      <w:tblPr>
        <w:tblStyle w:val="3"/>
        <w:tblpPr w:leftFromText="180" w:rightFromText="180" w:vertAnchor="text" w:horzAnchor="page" w:tblpXSpec="center" w:tblpY="2003"/>
        <w:tblOverlap w:val="never"/>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2112"/>
        <w:gridCol w:w="2451"/>
        <w:gridCol w:w="1035"/>
        <w:gridCol w:w="1254"/>
        <w:gridCol w:w="992"/>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抽查事项</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（填写本部门随机抽查事项清单中事项）</w:t>
            </w:r>
          </w:p>
        </w:tc>
        <w:tc>
          <w:tcPr>
            <w:tcW w:w="245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组织实施期间</w:t>
            </w:r>
          </w:p>
        </w:tc>
        <w:tc>
          <w:tcPr>
            <w:tcW w:w="103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（户）</w:t>
            </w:r>
          </w:p>
        </w:tc>
        <w:tc>
          <w:tcPr>
            <w:tcW w:w="1254"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抽取检查对象数量占监管对象总数百分比</w:t>
            </w:r>
          </w:p>
        </w:tc>
        <w:tc>
          <w:tcPr>
            <w:tcW w:w="99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抽取检查人员数量（人）</w:t>
            </w:r>
          </w:p>
        </w:tc>
        <w:tc>
          <w:tcPr>
            <w:tcW w:w="192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是否需要联合其他单位（如需要，请填写拟联合的单位名称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无</w:t>
            </w: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bl>
    <w:p>
      <w:pPr>
        <w:spacing w:line="260" w:lineRule="exact"/>
      </w:pPr>
      <w:r>
        <w:rPr>
          <w:rFonts w:hint="eastAsia"/>
        </w:rPr>
        <w:t>附表5：</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年度“双随机一公开”抽查计划表</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单位：（盖章）                                                          2020年   4月 1   日</w:t>
      </w:r>
    </w:p>
    <w:p>
      <w:pPr>
        <w:spacing w:line="260" w:lineRule="exact"/>
      </w:pPr>
      <w:r>
        <w:rPr>
          <w:rFonts w:hint="eastAsia"/>
        </w:rPr>
        <w:t>填表人：   谢昆鹏                                              联系电话：18543418325</w:t>
      </w:r>
    </w:p>
    <w:p>
      <w:pPr>
        <w:spacing w:line="200" w:lineRule="exact"/>
        <w:rPr>
          <w:sz w:val="16"/>
          <w:szCs w:val="16"/>
        </w:rPr>
      </w:pPr>
    </w:p>
    <w:p>
      <w:pPr>
        <w:spacing w:line="200" w:lineRule="exact"/>
        <w:rPr>
          <w:sz w:val="16"/>
          <w:szCs w:val="16"/>
        </w:rPr>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方正黑体简体">
    <w:altName w:val="黑体"/>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00007A87" w:usb1="80000000" w:usb2="00000008" w:usb3="00000000" w:csb0="400001FF" w:csb1="FFFF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EF3E9"/>
    <w:multiLevelType w:val="singleLevel"/>
    <w:tmpl w:val="58DEF3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38386A"/>
    <w:rsid w:val="0002600B"/>
    <w:rsid w:val="0003273B"/>
    <w:rsid w:val="00037DA8"/>
    <w:rsid w:val="0005695E"/>
    <w:rsid w:val="00085AB8"/>
    <w:rsid w:val="000868B5"/>
    <w:rsid w:val="000A3266"/>
    <w:rsid w:val="000A521D"/>
    <w:rsid w:val="000B7480"/>
    <w:rsid w:val="000D1DEB"/>
    <w:rsid w:val="000E258E"/>
    <w:rsid w:val="000F502E"/>
    <w:rsid w:val="00114CA9"/>
    <w:rsid w:val="0012394B"/>
    <w:rsid w:val="001715DB"/>
    <w:rsid w:val="00177764"/>
    <w:rsid w:val="001A3871"/>
    <w:rsid w:val="001A7317"/>
    <w:rsid w:val="001E192C"/>
    <w:rsid w:val="001E44CC"/>
    <w:rsid w:val="001F1A47"/>
    <w:rsid w:val="001F7F84"/>
    <w:rsid w:val="00234B29"/>
    <w:rsid w:val="00234CCF"/>
    <w:rsid w:val="002432B0"/>
    <w:rsid w:val="002437E7"/>
    <w:rsid w:val="0026362B"/>
    <w:rsid w:val="00265476"/>
    <w:rsid w:val="00267480"/>
    <w:rsid w:val="00277D1E"/>
    <w:rsid w:val="00297785"/>
    <w:rsid w:val="002A5E91"/>
    <w:rsid w:val="002B3BE2"/>
    <w:rsid w:val="002C5210"/>
    <w:rsid w:val="002C56C6"/>
    <w:rsid w:val="003063F2"/>
    <w:rsid w:val="003072C1"/>
    <w:rsid w:val="00311425"/>
    <w:rsid w:val="00323B43"/>
    <w:rsid w:val="0032574D"/>
    <w:rsid w:val="0032578C"/>
    <w:rsid w:val="00337214"/>
    <w:rsid w:val="00352C79"/>
    <w:rsid w:val="0038386A"/>
    <w:rsid w:val="003A71BD"/>
    <w:rsid w:val="003A7810"/>
    <w:rsid w:val="003B2AFA"/>
    <w:rsid w:val="003C50F3"/>
    <w:rsid w:val="003C594A"/>
    <w:rsid w:val="003D37D8"/>
    <w:rsid w:val="003E15E5"/>
    <w:rsid w:val="003E4374"/>
    <w:rsid w:val="004036BE"/>
    <w:rsid w:val="004346EB"/>
    <w:rsid w:val="00434D62"/>
    <w:rsid w:val="004358AB"/>
    <w:rsid w:val="004501BF"/>
    <w:rsid w:val="004559E3"/>
    <w:rsid w:val="00471C2C"/>
    <w:rsid w:val="00477871"/>
    <w:rsid w:val="004C38D0"/>
    <w:rsid w:val="004C48CD"/>
    <w:rsid w:val="004D219A"/>
    <w:rsid w:val="005275BB"/>
    <w:rsid w:val="005435AC"/>
    <w:rsid w:val="00560F73"/>
    <w:rsid w:val="00591F85"/>
    <w:rsid w:val="005C572C"/>
    <w:rsid w:val="005D2BF9"/>
    <w:rsid w:val="005E07E4"/>
    <w:rsid w:val="005E0D7D"/>
    <w:rsid w:val="0060319C"/>
    <w:rsid w:val="00620E20"/>
    <w:rsid w:val="006614D4"/>
    <w:rsid w:val="00675412"/>
    <w:rsid w:val="006822B0"/>
    <w:rsid w:val="006B6825"/>
    <w:rsid w:val="006C54E7"/>
    <w:rsid w:val="007120CF"/>
    <w:rsid w:val="007142E1"/>
    <w:rsid w:val="00721500"/>
    <w:rsid w:val="00723A4C"/>
    <w:rsid w:val="007265C2"/>
    <w:rsid w:val="007422F7"/>
    <w:rsid w:val="00757B98"/>
    <w:rsid w:val="007617E7"/>
    <w:rsid w:val="007625E2"/>
    <w:rsid w:val="00797019"/>
    <w:rsid w:val="007A6179"/>
    <w:rsid w:val="007B324B"/>
    <w:rsid w:val="007E504C"/>
    <w:rsid w:val="007F7F96"/>
    <w:rsid w:val="00800E1A"/>
    <w:rsid w:val="0082373D"/>
    <w:rsid w:val="00864256"/>
    <w:rsid w:val="0088794F"/>
    <w:rsid w:val="00891B87"/>
    <w:rsid w:val="008B7726"/>
    <w:rsid w:val="00906AE0"/>
    <w:rsid w:val="009202BA"/>
    <w:rsid w:val="0092528E"/>
    <w:rsid w:val="00956028"/>
    <w:rsid w:val="00971CA1"/>
    <w:rsid w:val="0099618F"/>
    <w:rsid w:val="009A2408"/>
    <w:rsid w:val="009A4357"/>
    <w:rsid w:val="009B15FA"/>
    <w:rsid w:val="009B38C9"/>
    <w:rsid w:val="00A162C0"/>
    <w:rsid w:val="00A214AF"/>
    <w:rsid w:val="00A220B0"/>
    <w:rsid w:val="00A2670D"/>
    <w:rsid w:val="00A52201"/>
    <w:rsid w:val="00A611CE"/>
    <w:rsid w:val="00A65254"/>
    <w:rsid w:val="00A85BBA"/>
    <w:rsid w:val="00A879C7"/>
    <w:rsid w:val="00AA6E33"/>
    <w:rsid w:val="00AD4ED7"/>
    <w:rsid w:val="00AF7AF2"/>
    <w:rsid w:val="00B118B1"/>
    <w:rsid w:val="00B165F5"/>
    <w:rsid w:val="00B22B5A"/>
    <w:rsid w:val="00B50B76"/>
    <w:rsid w:val="00B5637B"/>
    <w:rsid w:val="00B62743"/>
    <w:rsid w:val="00B7288A"/>
    <w:rsid w:val="00B94BF8"/>
    <w:rsid w:val="00BB02A1"/>
    <w:rsid w:val="00BB155F"/>
    <w:rsid w:val="00BC18E0"/>
    <w:rsid w:val="00BC6D0E"/>
    <w:rsid w:val="00BD0150"/>
    <w:rsid w:val="00BE5DE6"/>
    <w:rsid w:val="00BF6797"/>
    <w:rsid w:val="00C06000"/>
    <w:rsid w:val="00C20BAE"/>
    <w:rsid w:val="00C92977"/>
    <w:rsid w:val="00CA0021"/>
    <w:rsid w:val="00CB19A8"/>
    <w:rsid w:val="00CB31D6"/>
    <w:rsid w:val="00CB46A3"/>
    <w:rsid w:val="00CB4A36"/>
    <w:rsid w:val="00CE32D2"/>
    <w:rsid w:val="00D04FBA"/>
    <w:rsid w:val="00D14678"/>
    <w:rsid w:val="00D17DFF"/>
    <w:rsid w:val="00D27DD0"/>
    <w:rsid w:val="00D40DEC"/>
    <w:rsid w:val="00D513E2"/>
    <w:rsid w:val="00D76CA4"/>
    <w:rsid w:val="00D93064"/>
    <w:rsid w:val="00DC1D39"/>
    <w:rsid w:val="00DC5CE9"/>
    <w:rsid w:val="00DD5840"/>
    <w:rsid w:val="00DF2214"/>
    <w:rsid w:val="00E023B2"/>
    <w:rsid w:val="00E051F3"/>
    <w:rsid w:val="00E32514"/>
    <w:rsid w:val="00E370F3"/>
    <w:rsid w:val="00E902DA"/>
    <w:rsid w:val="00EA7AAD"/>
    <w:rsid w:val="00EB3B9C"/>
    <w:rsid w:val="00EC057D"/>
    <w:rsid w:val="00EC575D"/>
    <w:rsid w:val="00ED651C"/>
    <w:rsid w:val="00ED7279"/>
    <w:rsid w:val="00ED781A"/>
    <w:rsid w:val="00F308F8"/>
    <w:rsid w:val="00F31B11"/>
    <w:rsid w:val="00F45671"/>
    <w:rsid w:val="00F53262"/>
    <w:rsid w:val="00F63931"/>
    <w:rsid w:val="00F721F5"/>
    <w:rsid w:val="00F90EFA"/>
    <w:rsid w:val="00FA6129"/>
    <w:rsid w:val="00FA6FDA"/>
    <w:rsid w:val="00FE191E"/>
    <w:rsid w:val="00FE6BCA"/>
    <w:rsid w:val="00FF0FBC"/>
    <w:rsid w:val="00FF6817"/>
    <w:rsid w:val="17BC6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nhideWhenUsed/>
    <w:qFormat/>
    <w:uiPriority w:val="99"/>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219</Words>
  <Characters>1252</Characters>
  <Lines>10</Lines>
  <Paragraphs>2</Paragraphs>
  <TotalTime>65</TotalTime>
  <ScaleCrop>false</ScaleCrop>
  <LinksUpToDate>false</LinksUpToDate>
  <CharactersWithSpaces>1469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2019-12-12T05:45:00Z</dcterms:created>
  <dc:creator>PCOS</dc:creator>
  <cp:lastModifiedBy>Administrator</cp:lastModifiedBy>
  <cp:lastPrinted>2020-04-01T06:19:00Z</cp:lastPrinted>
  <dcterms:modified xsi:type="dcterms:W3CDTF">2020-07-09T03:33:02Z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